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Kent J. Browning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Solo Lawyer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Business Tort Law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Office in Tanglewood near Galleria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Two biggest competitors are people he worked with.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http://shareholderoppressionlaw.com/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Dealt a bad hand by Supreme court 7 to 3 vote???  Oppression was redefined  so now he doesn’t have a lot of cases to work on anymore.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Website Wish list: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the site mobile friendly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Needs to update the website w/ the latest Supreme Court law changes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Highlight services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Trial Lawyer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Mediator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Securities Fraud/ Arbitration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Sexual harassment work (possible second website)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General Business Tort law (business fraud, breach of contract, etc.)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Add that he will offer Free consultation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  phone preferred, no form or emails)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Represents the little guy but will also represent majority and controlling shareholders who have been sued frivolously and maliciously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 habla espanol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Updated headshot (was 50 in current) now 66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Remove most information from website (b/c everyone can Google it)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May need Google Ads, SEO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shareholderoppressionlaw.com/" TargetMode="External"/></Relationships>
</file>